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B14" w:rsidRDefault="00F21B14">
      <w:pPr>
        <w:jc w:val="center"/>
        <w:rPr>
          <w:rFonts w:ascii="方正小标宋简体" w:eastAsia="方正小标宋简体"/>
          <w:spacing w:val="-30"/>
          <w:sz w:val="48"/>
          <w:szCs w:val="48"/>
        </w:rPr>
      </w:pPr>
    </w:p>
    <w:p w:rsidR="00F21B14" w:rsidRDefault="00F21B14">
      <w:pPr>
        <w:jc w:val="center"/>
        <w:rPr>
          <w:rFonts w:ascii="方正小标宋简体" w:eastAsia="方正小标宋简体"/>
          <w:spacing w:val="-30"/>
          <w:sz w:val="48"/>
          <w:szCs w:val="48"/>
        </w:rPr>
      </w:pPr>
    </w:p>
    <w:p w:rsidR="00F21B14" w:rsidRDefault="00B93B7A">
      <w:pPr>
        <w:jc w:val="distribute"/>
        <w:rPr>
          <w:rFonts w:ascii="方正小标宋简体" w:eastAsia="方正小标宋简体"/>
          <w:color w:val="FF0000"/>
          <w:spacing w:val="-30"/>
          <w:w w:val="90"/>
          <w:sz w:val="136"/>
          <w:szCs w:val="136"/>
        </w:rPr>
      </w:pPr>
      <w:r>
        <w:rPr>
          <w:rFonts w:ascii="方正小标宋简体" w:eastAsia="方正小标宋简体" w:hint="eastAsia"/>
          <w:color w:val="FF0000"/>
          <w:spacing w:val="-30"/>
          <w:w w:val="90"/>
          <w:sz w:val="136"/>
          <w:szCs w:val="136"/>
        </w:rPr>
        <w:t>西峡县人民法院</w:t>
      </w:r>
    </w:p>
    <w:p w:rsidR="00F21B14" w:rsidRDefault="00F21B14"/>
    <w:p w:rsidR="00F21B14" w:rsidRDefault="00F21B14"/>
    <w:p w:rsidR="00F21B14" w:rsidRDefault="00B93B7A" w:rsidP="00BD0842">
      <w:pPr>
        <w:spacing w:afterLines="50"/>
        <w:jc w:val="center"/>
        <w:rPr>
          <w:rFonts w:ascii="仿宋_GB2312" w:eastAsia="仿宋_GB2312" w:hAnsi="宋体"/>
          <w:sz w:val="32"/>
          <w:szCs w:val="32"/>
        </w:rPr>
      </w:pPr>
      <w:r>
        <w:rPr>
          <w:rFonts w:ascii="仿宋_GB2312" w:eastAsia="仿宋_GB2312" w:hint="eastAsia"/>
          <w:sz w:val="32"/>
          <w:szCs w:val="32"/>
        </w:rPr>
        <w:t>宛西法</w:t>
      </w:r>
      <w:r>
        <w:rPr>
          <w:rFonts w:ascii="仿宋_GB2312" w:eastAsia="仿宋_GB2312" w:hAnsi="宋体" w:hint="eastAsia"/>
          <w:sz w:val="32"/>
          <w:szCs w:val="32"/>
        </w:rPr>
        <w:t>〔</w:t>
      </w:r>
      <w:r>
        <w:rPr>
          <w:rFonts w:ascii="仿宋_GB2312" w:eastAsia="仿宋_GB2312" w:hAnsi="宋体"/>
          <w:sz w:val="32"/>
          <w:szCs w:val="32"/>
        </w:rPr>
        <w:t>20</w:t>
      </w:r>
      <w:r>
        <w:rPr>
          <w:rFonts w:ascii="仿宋_GB2312" w:eastAsia="仿宋_GB2312" w:hAnsi="宋体" w:hint="eastAsia"/>
          <w:sz w:val="32"/>
          <w:szCs w:val="32"/>
        </w:rPr>
        <w:t xml:space="preserve">21〕22号 </w:t>
      </w:r>
    </w:p>
    <w:p w:rsidR="00F21B14" w:rsidRDefault="00002BC7">
      <w:pPr>
        <w:spacing w:line="600" w:lineRule="exact"/>
      </w:pPr>
      <w:r>
        <w:pict>
          <v:line id="_x0000_s1026" style="position:absolute;left:0;text-align:left;z-index:251656704" from="-.75pt,8.35pt" to="436.05pt,8.35pt" o:gfxdata="UEsDBAoAAAAAAIdO4kAAAAAAAAAAAAAAAAAEAAAAZHJzL1BLAwQUAAAACACHTuJAY6VYstYAAAAI&#10;AQAADwAAAGRycy9kb3ducmV2LnhtbE2PzU7DMBCE70i8g7VI3FonlUiqNE4PSCDxK6XwAE68TaLa&#10;6xC7aeHpWcQBjjsz+nam3J6dFTNOYfCkIF0mIJBabwbqFLy/3S3WIELUZLT1hAo+McC2urwodWH8&#10;iWqcd7ETDKFQaAV9jGMhZWh7dDos/YjE3t5PTkc+p06aSZ8Y7qxcJUkmnR6IP/R6xNse28Pu6Jgy&#10;54fnp5ev+uNx8A/1ffbadBaVur5Kkw2IiOf4F4af+lwdKu7U+COZIKyCRXrDSdazHAT763yVgmh+&#10;BVmV8v+A6htQSwMEFAAAAAgAh07iQDXxKJHPAQAAawMAAA4AAABkcnMvZTJvRG9jLnhtbK1TwY7T&#10;MBC9I/EPlu80aSELipruoatyWaDSLh/g2k5jYXss223Sn+AHkLjBiSN3/oblMxi7TXcXbggfRrFn&#10;5s28N5P55WA02UsfFNiGTiclJdJyEMpuG/r+dvXsFSUhMiuYBisbepCBXi6ePpn3rpYz6EAL6QmC&#10;2FD3rqFdjK4uisA7aViYgJMWnS14wyJe/bYQnvWIbnQxK8uLogcvnAcuQ8DXq6OTLjJ+20oe37Vt&#10;kJHohmJvMVuf7SbZYjFn9dYz1yl+aoP9QxeGKYtFz1BXLDKy8+ovKKO4hwBtnHAwBbSt4jJzQDbT&#10;8g82Nx1zMnNBcYI7yxT+Hyx/u197okRDK0osMziiu0/ff3788uvHZ7R3376SKonUu1Bj7NKufaLJ&#10;B3vjroF/CMTCsmN2K3OztweHCNOUUTxKSZfgsNSmfwMCY9guQlZsaL1JkKgFGfJgDufByCESjo9V&#10;9eLl8wucHx99BavHROdDfC3BkPTRUK1s0ozVbH8dYmqE1WNIerawUlrnuWtL+obO8FQ5I4BWInlT&#10;XPDbzVJ7sme4OqtViSfTQs/DMA87K45VtE15Mm/dqfRI+yjgBsRh7UdtcKK5udP2pZV5eM8K3v8j&#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pViy1gAAAAgBAAAPAAAAAAAAAAEAIAAAACIAAABk&#10;cnMvZG93bnJldi54bWxQSwECFAAUAAAACACHTuJANfEokc8BAABrAwAADgAAAAAAAAABACAAAAAl&#10;AQAAZHJzL2Uyb0RvYy54bWxQSwUGAAAAAAYABgBZAQAAZgUAAAAA&#10;" strokecolor="red" strokeweight="1.75pt"/>
        </w:pict>
      </w:r>
    </w:p>
    <w:p w:rsidR="00C3318D" w:rsidRDefault="00C3318D">
      <w:pPr>
        <w:jc w:val="center"/>
        <w:rPr>
          <w:rFonts w:ascii="方正小标宋_GBK" w:eastAsia="方正小标宋_GBK" w:hAnsi="方正小标宋_GBK" w:cs="方正小标宋_GBK"/>
          <w:sz w:val="44"/>
          <w:szCs w:val="44"/>
        </w:rPr>
      </w:pPr>
    </w:p>
    <w:p w:rsidR="00F21B14" w:rsidRPr="00BD0842" w:rsidRDefault="00B93B7A">
      <w:pPr>
        <w:jc w:val="center"/>
        <w:rPr>
          <w:rFonts w:ascii="方正小标宋简体" w:eastAsia="方正小标宋简体" w:hAnsi="方正小标宋简体" w:cs="方正小标宋简体" w:hint="eastAsia"/>
          <w:bCs/>
          <w:sz w:val="44"/>
          <w:szCs w:val="44"/>
        </w:rPr>
      </w:pPr>
      <w:r w:rsidRPr="00BD0842">
        <w:rPr>
          <w:rFonts w:ascii="方正小标宋简体" w:eastAsia="方正小标宋简体" w:hAnsi="方正小标宋_GBK" w:cs="方正小标宋_GBK" w:hint="eastAsia"/>
          <w:sz w:val="44"/>
          <w:szCs w:val="44"/>
        </w:rPr>
        <w:t>关于印发《</w:t>
      </w:r>
      <w:r w:rsidRPr="00BD0842">
        <w:rPr>
          <w:rFonts w:ascii="方正小标宋简体" w:eastAsia="方正小标宋简体" w:hint="eastAsia"/>
          <w:bCs/>
          <w:sz w:val="44"/>
          <w:szCs w:val="44"/>
        </w:rPr>
        <w:t>西峡县人民法院关于网上立案的若干规定（试行）</w:t>
      </w:r>
      <w:r w:rsidRPr="00BD0842">
        <w:rPr>
          <w:rFonts w:ascii="方正小标宋简体" w:eastAsia="方正小标宋简体" w:hAnsi="方正小标宋_GBK" w:cs="方正小标宋_GBK" w:hint="eastAsia"/>
          <w:sz w:val="44"/>
          <w:szCs w:val="44"/>
        </w:rPr>
        <w:t>》的通知</w:t>
      </w:r>
    </w:p>
    <w:p w:rsidR="00F21B14" w:rsidRDefault="00F21B14">
      <w:pPr>
        <w:rPr>
          <w:rFonts w:ascii="宋体" w:hAnsi="宋体" w:cs="宋体"/>
          <w:b/>
          <w:bCs/>
          <w:sz w:val="44"/>
          <w:szCs w:val="44"/>
        </w:rPr>
      </w:pPr>
    </w:p>
    <w:p w:rsidR="00F21B14" w:rsidRDefault="00B93B7A">
      <w:pPr>
        <w:spacing w:line="500" w:lineRule="exact"/>
        <w:rPr>
          <w:rFonts w:ascii="仿宋_GB2312" w:eastAsia="仿宋_GB2312" w:hAnsi="仿宋" w:cs="仿宋"/>
          <w:sz w:val="32"/>
          <w:szCs w:val="32"/>
        </w:rPr>
      </w:pPr>
      <w:r>
        <w:rPr>
          <w:rFonts w:ascii="仿宋_GB2312" w:eastAsia="仿宋_GB2312" w:hAnsi="仿宋" w:cs="仿宋" w:hint="eastAsia"/>
          <w:sz w:val="32"/>
          <w:szCs w:val="32"/>
        </w:rPr>
        <w:t>本院各部门：</w:t>
      </w:r>
    </w:p>
    <w:p w:rsidR="00F21B14" w:rsidRDefault="00B93B7A">
      <w:pPr>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现将《西峡县人民法院关于网上立案的若干规定（试行）》印发给你们，请结合工作实际，认真遵照执行。</w:t>
      </w:r>
      <w:r>
        <w:rPr>
          <w:rFonts w:ascii="宋体" w:hAnsi="宋体" w:cs="宋体" w:hint="eastAsia"/>
          <w:sz w:val="32"/>
          <w:szCs w:val="32"/>
        </w:rPr>
        <w:t>  </w:t>
      </w:r>
    </w:p>
    <w:p w:rsidR="00F21B14" w:rsidRDefault="00F21B14">
      <w:pPr>
        <w:rPr>
          <w:rFonts w:ascii="仿宋_GB2312" w:eastAsia="仿宋_GB2312" w:hAnsi="仿宋_GB2312" w:cs="仿宋_GB2312"/>
          <w:sz w:val="32"/>
          <w:szCs w:val="32"/>
        </w:rPr>
      </w:pPr>
    </w:p>
    <w:p w:rsidR="00F21B14" w:rsidRDefault="00B93B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西峡县人民法院     </w:t>
      </w:r>
    </w:p>
    <w:p w:rsidR="00F21B14" w:rsidRDefault="00B93B7A">
      <w:pPr>
        <w:rPr>
          <w:rFonts w:ascii="仿宋_GB2312" w:eastAsia="仿宋_GB2312"/>
          <w:szCs w:val="21"/>
        </w:rPr>
      </w:pPr>
      <w:r>
        <w:rPr>
          <w:rFonts w:ascii="仿宋_GB2312" w:eastAsia="仿宋_GB2312" w:hAnsi="仿宋_GB2312" w:cs="仿宋_GB2312" w:hint="eastAsia"/>
          <w:sz w:val="32"/>
          <w:szCs w:val="32"/>
        </w:rPr>
        <w:t xml:space="preserve">                          2021年3月10日</w:t>
      </w:r>
    </w:p>
    <w:p w:rsidR="00F21B14" w:rsidRDefault="00F21B14">
      <w:pPr>
        <w:jc w:val="center"/>
        <w:rPr>
          <w:b/>
          <w:bCs/>
          <w:sz w:val="44"/>
          <w:szCs w:val="44"/>
        </w:rPr>
      </w:pPr>
    </w:p>
    <w:p w:rsidR="00F21B14" w:rsidRDefault="00F21B14">
      <w:pPr>
        <w:jc w:val="center"/>
        <w:rPr>
          <w:b/>
          <w:bCs/>
          <w:sz w:val="44"/>
          <w:szCs w:val="44"/>
        </w:rPr>
      </w:pPr>
    </w:p>
    <w:p w:rsidR="00F21B14" w:rsidRDefault="00B93B7A">
      <w:pPr>
        <w:ind w:firstLineChars="200" w:firstLine="883"/>
        <w:jc w:val="center"/>
        <w:rPr>
          <w:b/>
          <w:bCs/>
          <w:sz w:val="44"/>
          <w:szCs w:val="44"/>
        </w:rPr>
      </w:pPr>
      <w:r>
        <w:rPr>
          <w:rFonts w:hint="eastAsia"/>
          <w:b/>
          <w:bCs/>
          <w:sz w:val="44"/>
          <w:szCs w:val="44"/>
        </w:rPr>
        <w:t>西峡县人民法院关于网上立案的若干规定（试行）</w:t>
      </w:r>
    </w:p>
    <w:p w:rsidR="00F21B14" w:rsidRDefault="00F21B14">
      <w:pPr>
        <w:spacing w:line="560" w:lineRule="exact"/>
        <w:jc w:val="center"/>
        <w:rPr>
          <w:rFonts w:ascii="仿宋_GB2312" w:eastAsia="仿宋_GB2312" w:hAnsi="方正小标宋简体" w:cs="方正小标宋简体"/>
          <w:bCs/>
          <w:sz w:val="32"/>
          <w:szCs w:val="32"/>
          <w:shd w:val="pct10" w:color="auto" w:fill="FFFFFF"/>
        </w:rPr>
      </w:pPr>
    </w:p>
    <w:p w:rsidR="00F21B14" w:rsidRDefault="00B93B7A">
      <w:pPr>
        <w:jc w:val="center"/>
        <w:rPr>
          <w:b/>
          <w:bCs/>
        </w:rPr>
      </w:pPr>
      <w:r>
        <w:rPr>
          <w:rFonts w:hint="eastAsia"/>
          <w:b/>
          <w:bCs/>
          <w:sz w:val="32"/>
          <w:szCs w:val="32"/>
        </w:rPr>
        <w:t>第一章总则</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第一条【制定依据】为不断满足人民群众对网上立案工作的新需求新期待，进一步提升立案工作信息化、智能化、规范化水平，搭建全市统一的跨层级、跨区域案件网上立案平台，开创全市法院立案工作的新局面，根据最高人民法院《关于深化人民法院司法体制综合配套改革的意见——人民法院第五个五年改革纲要（2019——2023）的通知》等规定，结合我院网上立案工作实际，制定本规定。</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第二条【目的意义】网上立案工作是法院审判执行工作的重要组成部分。我院各个法庭、各部门应高度重视，积极参与，以争创线上“一网通办”、线下“一站服务”的集约化诉讼服务机制为目标，加快推进诉讼服务中心现代化建设，努力提供普惠均等、便捷高效、智能精准的诉讼服务。完善网上立案容缺受理机制、加快推动跨层级、跨区域协作立案、自助立案等便民立案机制，实现诉讼服务“就近能办、同城通办、异地可办”，切实减轻人民群众诉累。</w:t>
      </w:r>
    </w:p>
    <w:p w:rsidR="00F21B14" w:rsidRDefault="00B93B7A">
      <w:pPr>
        <w:jc w:val="center"/>
        <w:rPr>
          <w:rFonts w:ascii="仿宋" w:eastAsia="仿宋" w:hAnsi="仿宋"/>
          <w:b/>
          <w:bCs/>
          <w:sz w:val="32"/>
          <w:szCs w:val="32"/>
        </w:rPr>
      </w:pPr>
      <w:r>
        <w:rPr>
          <w:rFonts w:ascii="仿宋" w:eastAsia="仿宋" w:hAnsi="仿宋" w:hint="eastAsia"/>
          <w:b/>
          <w:bCs/>
          <w:sz w:val="32"/>
          <w:szCs w:val="32"/>
        </w:rPr>
        <w:t>第二章案件网上立案平台</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第三条【案件网上立案平台】案件网上立案平台是指申</w:t>
      </w:r>
      <w:r>
        <w:rPr>
          <w:rFonts w:ascii="仿宋" w:eastAsia="仿宋" w:hAnsi="仿宋" w:hint="eastAsia"/>
          <w:sz w:val="32"/>
          <w:szCs w:val="32"/>
        </w:rPr>
        <w:lastRenderedPageBreak/>
        <w:t>请人按照要求准备起诉材料，并通过网上立案平台的在线功能模块提交至有管辖权的法院，由专司网上立案人员通过在线阅读、电话等方式查阅起诉材料，完成案件受理工作的一种快捷便利的立案方式。</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第四条【案件类型】法院实行网上立案的案件类型为一审民商事、知识产权、刑事自诉、强制执行、国家赔偿申请、撤销仲裁裁决案件、民商事再审案件及河南互联网法院上诉案件，可探索实行其他特殊类型案件的网上立案。</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第五条【释明引导】为积极预防和有效减少虚假诉讼、恶意诉讼等诉权滥用现象的发生，负责网上立案工作人员应审慎核对网上立案的案件当事人基本信息、起诉原因、诉讼目的、证据材料等立案要点。</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对需要补充相关材料的，应一次性告知申请人，并通过网上立案在线功能向申请人提交应补充材料的清单。对不符合立案条件的，应通过网上立案平台等方式向申请人说明情况并做好释法引导工作。</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负责网上立案工作人员以网上答复为主，也可利用电子邮件、电话、传真等其他形式进行答复。利用电子邮件、电话、传真等其他形式进行答复的，负责网上立案工作人员要做好记录，并在网上立案系统注明回复时间、方式及主要内容。</w:t>
      </w:r>
    </w:p>
    <w:p w:rsidR="00F21B14" w:rsidRDefault="00B93B7A">
      <w:pPr>
        <w:jc w:val="center"/>
        <w:rPr>
          <w:rFonts w:ascii="仿宋" w:eastAsia="仿宋" w:hAnsi="仿宋"/>
          <w:b/>
          <w:bCs/>
          <w:sz w:val="32"/>
          <w:szCs w:val="32"/>
        </w:rPr>
      </w:pPr>
      <w:r>
        <w:rPr>
          <w:rFonts w:ascii="仿宋" w:eastAsia="仿宋" w:hAnsi="仿宋" w:hint="eastAsia"/>
          <w:b/>
          <w:bCs/>
          <w:sz w:val="32"/>
          <w:szCs w:val="32"/>
        </w:rPr>
        <w:t>第三章</w:t>
      </w:r>
      <w:r>
        <w:rPr>
          <w:rFonts w:eastAsia="仿宋" w:hint="eastAsia"/>
          <w:b/>
          <w:bCs/>
          <w:sz w:val="32"/>
          <w:szCs w:val="32"/>
        </w:rPr>
        <w:t> </w:t>
      </w:r>
      <w:r>
        <w:rPr>
          <w:rFonts w:ascii="仿宋" w:eastAsia="仿宋" w:hAnsi="仿宋" w:hint="eastAsia"/>
          <w:b/>
          <w:bCs/>
          <w:sz w:val="32"/>
          <w:szCs w:val="32"/>
        </w:rPr>
        <w:t>容缺受理机制</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lastRenderedPageBreak/>
        <w:t>第六条【容缺受理机制】对原告或申请执行人为法人或其他组织、委托律师代理诉讼的案件、小额诉讼案件及系列案，允许网上立案申请人在提交网上立案申请时，只上传起诉状（申请书）、当事人的主体材料、诉请的主要依据以及能确定管辖法院的材料，申请人可以不再另行提交纸质诉状，对与案件事实争议等有关的其他材料当事人可自愿选择是否在本次网上立案时扫描上传。</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第七条</w:t>
      </w:r>
      <w:r>
        <w:rPr>
          <w:rFonts w:eastAsia="仿宋" w:hint="eastAsia"/>
          <w:sz w:val="32"/>
          <w:szCs w:val="32"/>
        </w:rPr>
        <w:t>  </w:t>
      </w:r>
      <w:r>
        <w:rPr>
          <w:rFonts w:ascii="仿宋" w:eastAsia="仿宋" w:hAnsi="仿宋" w:hint="eastAsia"/>
          <w:sz w:val="32"/>
          <w:szCs w:val="32"/>
        </w:rPr>
        <w:t>【可容缺的材料类型】针对普通民商事案件，申请人可以选择在网上立案平台只上传起诉书、当事人的主体材料、主合同、与管辖争议有关的材料及证据清单，其他涉及实体争议的证据材料可不在网上立案平台上传。(可容缺的参考材料详见附件1)</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针对执行案件，申请人可以选择在网上立案平台只上传交申请书、主体材料和申请执行依据的首页和主文，其他执行依据中记载事实理由的页面、不必要的评估报告等材料可不在网上立案平台上传。</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第八条</w:t>
      </w:r>
      <w:r>
        <w:rPr>
          <w:rFonts w:eastAsia="仿宋" w:hint="eastAsia"/>
          <w:sz w:val="32"/>
          <w:szCs w:val="32"/>
        </w:rPr>
        <w:t>  </w:t>
      </w:r>
      <w:r>
        <w:rPr>
          <w:rFonts w:ascii="仿宋" w:eastAsia="仿宋" w:hAnsi="仿宋" w:hint="eastAsia"/>
          <w:sz w:val="32"/>
          <w:szCs w:val="32"/>
        </w:rPr>
        <w:t>【容缺材料的补交】对通过网上立案的，应当及时通知申请人将完整的证据材料以及其他与诉讼相关材料的电子版上传，申请人可以不再另行提交纸质材料。</w:t>
      </w:r>
    </w:p>
    <w:p w:rsidR="00F21B14" w:rsidRDefault="00B93B7A">
      <w:pPr>
        <w:jc w:val="center"/>
        <w:rPr>
          <w:rFonts w:ascii="仿宋" w:eastAsia="仿宋" w:hAnsi="仿宋"/>
          <w:b/>
          <w:bCs/>
          <w:sz w:val="32"/>
          <w:szCs w:val="32"/>
        </w:rPr>
      </w:pPr>
      <w:bookmarkStart w:id="0" w:name="_GoBack"/>
      <w:r>
        <w:rPr>
          <w:rFonts w:ascii="仿宋" w:eastAsia="仿宋" w:hAnsi="仿宋" w:hint="eastAsia"/>
          <w:b/>
          <w:bCs/>
          <w:sz w:val="32"/>
          <w:szCs w:val="32"/>
        </w:rPr>
        <w:t>第四章</w:t>
      </w:r>
      <w:r>
        <w:rPr>
          <w:rFonts w:eastAsia="仿宋" w:hint="eastAsia"/>
          <w:b/>
          <w:bCs/>
          <w:sz w:val="32"/>
          <w:szCs w:val="32"/>
        </w:rPr>
        <w:t> </w:t>
      </w:r>
      <w:r>
        <w:rPr>
          <w:rFonts w:ascii="仿宋" w:eastAsia="仿宋" w:hAnsi="仿宋" w:hint="eastAsia"/>
          <w:b/>
          <w:bCs/>
          <w:sz w:val="32"/>
          <w:szCs w:val="32"/>
        </w:rPr>
        <w:t>跨层级、跨区域协作立案机制</w:t>
      </w:r>
    </w:p>
    <w:bookmarkEnd w:id="0"/>
    <w:p w:rsidR="00F21B14" w:rsidRDefault="00B93B7A">
      <w:pPr>
        <w:ind w:firstLineChars="200" w:firstLine="640"/>
        <w:rPr>
          <w:rFonts w:ascii="仿宋" w:eastAsia="仿宋" w:hAnsi="仿宋"/>
          <w:sz w:val="32"/>
          <w:szCs w:val="32"/>
        </w:rPr>
      </w:pPr>
      <w:r>
        <w:rPr>
          <w:rFonts w:ascii="仿宋" w:eastAsia="仿宋" w:hAnsi="仿宋" w:hint="eastAsia"/>
          <w:sz w:val="32"/>
          <w:szCs w:val="32"/>
        </w:rPr>
        <w:t>第九条【跨层级、跨区域协作立案的范围】凡依法属于南阳市中级人民法院、南阳各基层法院管辖的一审民商事案</w:t>
      </w:r>
      <w:r>
        <w:rPr>
          <w:rFonts w:ascii="仿宋" w:eastAsia="仿宋" w:hAnsi="仿宋" w:hint="eastAsia"/>
          <w:sz w:val="32"/>
          <w:szCs w:val="32"/>
        </w:rPr>
        <w:lastRenderedPageBreak/>
        <w:t>件、执行案件，当事人及其代理人可以就近选择向上述任一法院立案庭提交立案申请。各法院应协助申请人在网上立案系统向有管辖权的法院提交申请。</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第十条【跨层级、跨区域协作立案的处理方式】各法院收到跨区协作立案的起诉（申请）材料后，应当明确告知申请人在起诉（申请）书上注明受诉法院。</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对符合当场立案条件且应由本规定第九条所涉法院管辖的，应协助申请人向受诉法院提交网上立案申请，为申请人提供代为接收、转送起诉（申请）材料服务，向申请人出具《南阳市法院跨区协作立案材料接收凭证》。</w:t>
      </w:r>
    </w:p>
    <w:p w:rsidR="00F21B14" w:rsidRDefault="00B93B7A">
      <w:pPr>
        <w:ind w:firstLineChars="200" w:firstLine="640"/>
        <w:rPr>
          <w:rFonts w:ascii="仿宋" w:eastAsia="仿宋" w:hAnsi="仿宋"/>
          <w:sz w:val="32"/>
          <w:szCs w:val="32"/>
        </w:rPr>
      </w:pPr>
      <w:r>
        <w:rPr>
          <w:rFonts w:ascii="仿宋" w:eastAsia="仿宋" w:hAnsi="仿宋" w:hint="eastAsia"/>
          <w:sz w:val="32"/>
          <w:szCs w:val="32"/>
        </w:rPr>
        <w:t>对符合立案条件，但不属于本规定第九条所涉法院管辖的，告知申请人向有管辖权的人民法院起诉及递交材料。</w:t>
      </w:r>
    </w:p>
    <w:p w:rsidR="00F21B14" w:rsidRDefault="00B93B7A">
      <w:pPr>
        <w:rPr>
          <w:rFonts w:ascii="仿宋" w:eastAsia="仿宋" w:hAnsi="仿宋"/>
          <w:sz w:val="32"/>
          <w:szCs w:val="32"/>
        </w:rPr>
      </w:pPr>
      <w:r>
        <w:rPr>
          <w:rFonts w:ascii="仿宋" w:eastAsia="仿宋" w:hAnsi="仿宋" w:hint="eastAsia"/>
          <w:sz w:val="32"/>
          <w:szCs w:val="32"/>
        </w:rPr>
        <w:t>对缺少跨区协作立案材料的，一次性全面告知申请人需要补正的材料。在补齐相关材料后，适用本条第二款规定处理。</w:t>
      </w:r>
    </w:p>
    <w:p w:rsidR="00F21B14" w:rsidRDefault="00B93B7A">
      <w:pPr>
        <w:rPr>
          <w:rFonts w:ascii="仿宋" w:eastAsia="仿宋" w:hAnsi="仿宋"/>
          <w:sz w:val="32"/>
          <w:szCs w:val="32"/>
        </w:rPr>
      </w:pPr>
      <w:r>
        <w:rPr>
          <w:rFonts w:ascii="仿宋" w:eastAsia="仿宋" w:hAnsi="仿宋" w:hint="eastAsia"/>
          <w:sz w:val="32"/>
          <w:szCs w:val="32"/>
        </w:rPr>
        <w:t>对申请人提出的跨区协作立案的起诉（申请），当场不能判定是否符合立案条件的，可当场指引申请人先向受诉法院提交网上立案申请，等受诉法院通过网上立案审核后，请申请人根据受诉法院意见处理。</w:t>
      </w:r>
    </w:p>
    <w:p w:rsidR="00F21B14" w:rsidRDefault="00B93B7A">
      <w:pPr>
        <w:rPr>
          <w:rFonts w:ascii="仿宋" w:eastAsia="仿宋" w:hAnsi="仿宋"/>
          <w:sz w:val="32"/>
          <w:szCs w:val="32"/>
        </w:rPr>
      </w:pPr>
      <w:r>
        <w:rPr>
          <w:rFonts w:eastAsia="仿宋" w:hint="eastAsia"/>
          <w:sz w:val="32"/>
          <w:szCs w:val="32"/>
        </w:rPr>
        <w:t> </w:t>
      </w:r>
    </w:p>
    <w:p w:rsidR="00F21B14" w:rsidRDefault="00B93B7A">
      <w:pPr>
        <w:rPr>
          <w:rFonts w:ascii="仿宋" w:eastAsia="仿宋" w:hAnsi="仿宋"/>
          <w:sz w:val="32"/>
          <w:szCs w:val="32"/>
        </w:rPr>
      </w:pPr>
      <w:r>
        <w:rPr>
          <w:rFonts w:eastAsia="仿宋" w:hint="eastAsia"/>
          <w:sz w:val="32"/>
          <w:szCs w:val="32"/>
        </w:rPr>
        <w:t> </w:t>
      </w:r>
    </w:p>
    <w:p w:rsidR="00F21B14" w:rsidRDefault="00B93B7A">
      <w:pPr>
        <w:rPr>
          <w:rFonts w:ascii="仿宋" w:eastAsia="仿宋" w:hAnsi="仿宋"/>
          <w:sz w:val="32"/>
          <w:szCs w:val="32"/>
        </w:rPr>
      </w:pPr>
      <w:r>
        <w:rPr>
          <w:rFonts w:eastAsia="仿宋" w:hint="eastAsia"/>
          <w:sz w:val="32"/>
          <w:szCs w:val="32"/>
        </w:rPr>
        <w:t> </w:t>
      </w:r>
    </w:p>
    <w:p w:rsidR="0031285D" w:rsidRPr="00BD0842" w:rsidRDefault="00B93B7A">
      <w:pPr>
        <w:rPr>
          <w:rFonts w:eastAsia="仿宋"/>
          <w:sz w:val="32"/>
          <w:szCs w:val="32"/>
        </w:rPr>
      </w:pPr>
      <w:r>
        <w:rPr>
          <w:rFonts w:eastAsia="仿宋" w:hint="eastAsia"/>
          <w:sz w:val="32"/>
          <w:szCs w:val="32"/>
        </w:rPr>
        <w:t> </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lastRenderedPageBreak/>
        <w:t>附件1：</w:t>
      </w:r>
    </w:p>
    <w:p w:rsidR="00F21B14" w:rsidRDefault="00B93B7A" w:rsidP="00BD0842">
      <w:pPr>
        <w:spacing w:line="560" w:lineRule="exact"/>
        <w:rPr>
          <w:rFonts w:ascii="仿宋" w:eastAsia="仿宋" w:hAnsi="仿宋"/>
          <w:sz w:val="32"/>
          <w:szCs w:val="32"/>
        </w:rPr>
      </w:pPr>
      <w:r>
        <w:rPr>
          <w:rFonts w:eastAsia="仿宋" w:hint="eastAsia"/>
          <w:b/>
          <w:bCs/>
          <w:sz w:val="32"/>
          <w:szCs w:val="32"/>
        </w:rPr>
        <w:t> </w:t>
      </w:r>
      <w:r>
        <w:rPr>
          <w:rFonts w:ascii="仿宋" w:eastAsia="仿宋" w:hAnsi="仿宋" w:hint="eastAsia"/>
          <w:b/>
          <w:bCs/>
          <w:sz w:val="32"/>
          <w:szCs w:val="32"/>
        </w:rPr>
        <w:t>西峡法院网上立案可容缺的材料</w:t>
      </w:r>
      <w:r>
        <w:rPr>
          <w:rFonts w:eastAsia="仿宋" w:hint="eastAsia"/>
          <w:sz w:val="32"/>
          <w:szCs w:val="32"/>
        </w:rPr>
        <w:t> </w:t>
      </w:r>
    </w:p>
    <w:p w:rsidR="00F21B14" w:rsidRDefault="00B93B7A" w:rsidP="00BD0842">
      <w:pPr>
        <w:spacing w:line="560" w:lineRule="exact"/>
        <w:rPr>
          <w:rFonts w:ascii="仿宋" w:eastAsia="仿宋" w:hAnsi="仿宋"/>
          <w:sz w:val="32"/>
          <w:szCs w:val="32"/>
        </w:rPr>
      </w:pPr>
      <w:r>
        <w:rPr>
          <w:rFonts w:eastAsia="仿宋" w:hint="eastAsia"/>
          <w:b/>
          <w:bCs/>
          <w:sz w:val="32"/>
          <w:szCs w:val="32"/>
        </w:rPr>
        <w:t>   </w:t>
      </w:r>
      <w:r>
        <w:rPr>
          <w:rFonts w:ascii="仿宋" w:eastAsia="仿宋" w:hAnsi="仿宋" w:hint="eastAsia"/>
          <w:b/>
          <w:bCs/>
          <w:sz w:val="32"/>
          <w:szCs w:val="32"/>
        </w:rPr>
        <w:t>一、买卖合同纠纷案件可容缺的材料</w:t>
      </w:r>
    </w:p>
    <w:p w:rsidR="00F21B14" w:rsidRDefault="00B93B7A" w:rsidP="00BD0842">
      <w:pPr>
        <w:spacing w:line="560" w:lineRule="exact"/>
        <w:rPr>
          <w:rFonts w:ascii="仿宋" w:eastAsia="仿宋" w:hAnsi="仿宋"/>
          <w:sz w:val="32"/>
          <w:szCs w:val="32"/>
        </w:rPr>
      </w:pPr>
      <w:r>
        <w:rPr>
          <w:rFonts w:eastAsia="仿宋" w:hint="eastAsia"/>
          <w:sz w:val="32"/>
          <w:szCs w:val="32"/>
        </w:rPr>
        <w:t> </w:t>
      </w:r>
      <w:r>
        <w:rPr>
          <w:rFonts w:ascii="仿宋" w:eastAsia="仿宋" w:hAnsi="仿宋" w:hint="eastAsia"/>
          <w:sz w:val="32"/>
          <w:szCs w:val="32"/>
        </w:rPr>
        <w:t>1.合同履行情况的证据：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（1）交、收货凭证；</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（2）货款收支凭证；</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（3）拖欠货款的证据；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（4）收货方提出质量异议的信函、检验报告、客户投诉、退货和索偿的证据；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（5）约定向第三人履行或者由第三人履行的，提交第三人关于合同履行情况的证明以及相应凭证。</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2.其他证明案件事实且与确定管辖无关的证据。</w:t>
      </w:r>
    </w:p>
    <w:p w:rsidR="00F21B14" w:rsidRDefault="00B93B7A" w:rsidP="00BD0842">
      <w:pPr>
        <w:spacing w:line="560" w:lineRule="exact"/>
        <w:rPr>
          <w:rFonts w:ascii="仿宋" w:eastAsia="仿宋" w:hAnsi="仿宋"/>
          <w:sz w:val="32"/>
          <w:szCs w:val="32"/>
        </w:rPr>
      </w:pPr>
      <w:r>
        <w:rPr>
          <w:rFonts w:eastAsia="仿宋" w:hint="eastAsia"/>
          <w:b/>
          <w:bCs/>
          <w:sz w:val="32"/>
          <w:szCs w:val="32"/>
        </w:rPr>
        <w:t> </w:t>
      </w:r>
      <w:r>
        <w:rPr>
          <w:rFonts w:ascii="仿宋" w:eastAsia="仿宋" w:hAnsi="仿宋" w:hint="eastAsia"/>
          <w:b/>
          <w:bCs/>
          <w:sz w:val="32"/>
          <w:szCs w:val="32"/>
        </w:rPr>
        <w:t>二、金融借款合同纠纷案件可容缺的材料</w:t>
      </w:r>
    </w:p>
    <w:p w:rsidR="00F21B14" w:rsidRDefault="00B93B7A" w:rsidP="00BD0842">
      <w:pPr>
        <w:spacing w:line="560" w:lineRule="exact"/>
        <w:rPr>
          <w:rFonts w:ascii="仿宋" w:eastAsia="仿宋" w:hAnsi="仿宋"/>
          <w:sz w:val="32"/>
          <w:szCs w:val="32"/>
        </w:rPr>
      </w:pPr>
      <w:r>
        <w:rPr>
          <w:rFonts w:eastAsia="仿宋" w:hint="eastAsia"/>
          <w:sz w:val="32"/>
          <w:szCs w:val="32"/>
        </w:rPr>
        <w:t> </w:t>
      </w:r>
      <w:r>
        <w:rPr>
          <w:rFonts w:ascii="仿宋" w:eastAsia="仿宋" w:hAnsi="仿宋" w:hint="eastAsia"/>
          <w:sz w:val="32"/>
          <w:szCs w:val="32"/>
        </w:rPr>
        <w:t>1.借款合同关系以及从属的担保合同关系的证据：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（1）借款合同、协议中与确定管辖无关的内容；</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（2）抵押合同、抵押物权属证明、抵押登记情况的证据；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（3）保证合同或者保函；</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（4）质押合同、质押动产或者质押权利凭证交付的证据、出质登记的证据。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2.合同履行情况的证据：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（1）发放借款的证据；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（2）还本付息的证据。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（3）其他证明案件事实且与确定管辖无关的证据。</w:t>
      </w:r>
    </w:p>
    <w:p w:rsidR="00F21B14" w:rsidRDefault="00B93B7A" w:rsidP="00BD0842">
      <w:pPr>
        <w:spacing w:line="560" w:lineRule="exact"/>
        <w:rPr>
          <w:rFonts w:ascii="仿宋" w:eastAsia="仿宋" w:hAnsi="仿宋"/>
          <w:sz w:val="32"/>
          <w:szCs w:val="32"/>
        </w:rPr>
      </w:pPr>
      <w:r>
        <w:rPr>
          <w:rFonts w:eastAsia="仿宋" w:hint="eastAsia"/>
          <w:b/>
          <w:bCs/>
          <w:sz w:val="32"/>
          <w:szCs w:val="32"/>
        </w:rPr>
        <w:t>     </w:t>
      </w:r>
      <w:r>
        <w:rPr>
          <w:rFonts w:ascii="仿宋" w:eastAsia="仿宋" w:hAnsi="仿宋" w:hint="eastAsia"/>
          <w:b/>
          <w:bCs/>
          <w:sz w:val="32"/>
          <w:szCs w:val="32"/>
        </w:rPr>
        <w:t>三、加工承揽合同纠纷案件可容缺的材料</w:t>
      </w:r>
    </w:p>
    <w:p w:rsidR="00F21B14" w:rsidRDefault="00B93B7A" w:rsidP="00BD0842">
      <w:pPr>
        <w:spacing w:line="560" w:lineRule="exact"/>
        <w:rPr>
          <w:rFonts w:ascii="仿宋" w:eastAsia="仿宋" w:hAnsi="仿宋"/>
          <w:sz w:val="32"/>
          <w:szCs w:val="32"/>
        </w:rPr>
      </w:pPr>
      <w:r>
        <w:rPr>
          <w:rFonts w:eastAsia="仿宋" w:hint="eastAsia"/>
          <w:sz w:val="32"/>
          <w:szCs w:val="32"/>
        </w:rPr>
        <w:lastRenderedPageBreak/>
        <w:t> </w:t>
      </w:r>
      <w:r>
        <w:rPr>
          <w:rFonts w:ascii="仿宋" w:eastAsia="仿宋" w:hAnsi="仿宋" w:hint="eastAsia"/>
          <w:sz w:val="32"/>
          <w:szCs w:val="32"/>
        </w:rPr>
        <w:t>1.</w:t>
      </w:r>
      <w:r>
        <w:rPr>
          <w:rFonts w:eastAsia="仿宋" w:hint="eastAsia"/>
          <w:sz w:val="32"/>
          <w:szCs w:val="32"/>
        </w:rPr>
        <w:t> </w:t>
      </w:r>
      <w:r>
        <w:rPr>
          <w:rFonts w:ascii="仿宋" w:eastAsia="仿宋" w:hAnsi="仿宋" w:hint="eastAsia"/>
          <w:sz w:val="32"/>
          <w:szCs w:val="32"/>
        </w:rPr>
        <w:t>加工承揽合同、协议中与确定管辖无关的内容。</w:t>
      </w:r>
    </w:p>
    <w:p w:rsidR="00F21B14" w:rsidRDefault="00B93B7A" w:rsidP="00BD0842">
      <w:pPr>
        <w:spacing w:line="560" w:lineRule="exact"/>
        <w:rPr>
          <w:rFonts w:ascii="仿宋" w:eastAsia="仿宋" w:hAnsi="仿宋"/>
          <w:sz w:val="32"/>
          <w:szCs w:val="32"/>
        </w:rPr>
      </w:pPr>
      <w:r>
        <w:rPr>
          <w:rFonts w:eastAsia="仿宋" w:hint="eastAsia"/>
          <w:sz w:val="32"/>
          <w:szCs w:val="32"/>
        </w:rPr>
        <w:t> </w:t>
      </w:r>
      <w:r>
        <w:rPr>
          <w:rFonts w:ascii="仿宋" w:eastAsia="仿宋" w:hAnsi="仿宋" w:hint="eastAsia"/>
          <w:sz w:val="32"/>
          <w:szCs w:val="32"/>
        </w:rPr>
        <w:t>2.合同履行情况的证据：</w:t>
      </w:r>
    </w:p>
    <w:p w:rsidR="00F21B14" w:rsidRDefault="00B93B7A" w:rsidP="00BD0842">
      <w:pPr>
        <w:spacing w:line="560" w:lineRule="exact"/>
        <w:rPr>
          <w:rFonts w:ascii="仿宋" w:eastAsia="仿宋" w:hAnsi="仿宋"/>
          <w:sz w:val="32"/>
          <w:szCs w:val="32"/>
        </w:rPr>
      </w:pPr>
      <w:r>
        <w:rPr>
          <w:rFonts w:eastAsia="仿宋" w:hint="eastAsia"/>
          <w:sz w:val="32"/>
          <w:szCs w:val="32"/>
        </w:rPr>
        <w:t> </w:t>
      </w:r>
      <w:r>
        <w:rPr>
          <w:rFonts w:ascii="仿宋" w:eastAsia="仿宋" w:hAnsi="仿宋" w:hint="eastAsia"/>
          <w:sz w:val="32"/>
          <w:szCs w:val="32"/>
        </w:rPr>
        <w:t>如：定作物完成的数量、质量和支付价款等证据。</w:t>
      </w:r>
    </w:p>
    <w:p w:rsidR="00F21B14" w:rsidRDefault="00B93B7A" w:rsidP="00BD0842">
      <w:pPr>
        <w:spacing w:line="560" w:lineRule="exact"/>
        <w:rPr>
          <w:rFonts w:ascii="仿宋" w:eastAsia="仿宋" w:hAnsi="仿宋"/>
          <w:sz w:val="32"/>
          <w:szCs w:val="32"/>
        </w:rPr>
      </w:pPr>
      <w:r>
        <w:rPr>
          <w:rFonts w:eastAsia="仿宋" w:hint="eastAsia"/>
          <w:sz w:val="32"/>
          <w:szCs w:val="32"/>
        </w:rPr>
        <w:t> </w:t>
      </w:r>
      <w:r>
        <w:rPr>
          <w:rFonts w:ascii="仿宋" w:eastAsia="仿宋" w:hAnsi="仿宋" w:hint="eastAsia"/>
          <w:sz w:val="32"/>
          <w:szCs w:val="32"/>
        </w:rPr>
        <w:t>3.其他证明案件事实且与确定管辖无关的证据。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四、</w:t>
      </w:r>
      <w:r>
        <w:rPr>
          <w:rFonts w:ascii="仿宋" w:eastAsia="仿宋" w:hAnsi="仿宋" w:hint="eastAsia"/>
          <w:b/>
          <w:bCs/>
          <w:sz w:val="32"/>
          <w:szCs w:val="32"/>
        </w:rPr>
        <w:t>道路交通事故损害赔偿纠纷案件可容缺的材料</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1.受害人伤残法医鉴定书以及残疾等级评定证明；</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2.受害人经济收入、家庭成员状况的证明；</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3.医院诊断情况的证据和医药费、残疾用具费（以国产用具为准）、交通费、住宿费等单据；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4.其他证明案件事实且与确定管辖无关的证据。</w:t>
      </w:r>
    </w:p>
    <w:p w:rsidR="00F21B14" w:rsidRDefault="00B93B7A" w:rsidP="00BD0842">
      <w:pPr>
        <w:spacing w:line="560" w:lineRule="exact"/>
        <w:rPr>
          <w:rFonts w:ascii="仿宋" w:eastAsia="仿宋" w:hAnsi="仿宋"/>
          <w:sz w:val="32"/>
          <w:szCs w:val="32"/>
        </w:rPr>
      </w:pPr>
      <w:r>
        <w:rPr>
          <w:rFonts w:ascii="仿宋" w:eastAsia="仿宋" w:hAnsi="仿宋" w:hint="eastAsia"/>
          <w:b/>
          <w:bCs/>
          <w:sz w:val="32"/>
          <w:szCs w:val="32"/>
        </w:rPr>
        <w:t>五、损害赔偿纠纷案件可容缺的材料</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1.损害的时间、地点、方式的证据；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2.当事人承认或者双方达成损害赔偿的证据；</w:t>
      </w:r>
    </w:p>
    <w:p w:rsidR="00F21B14" w:rsidRDefault="00B93B7A" w:rsidP="00BD0842">
      <w:pPr>
        <w:spacing w:line="560" w:lineRule="exact"/>
        <w:rPr>
          <w:rFonts w:ascii="仿宋" w:eastAsia="仿宋" w:hAnsi="仿宋"/>
          <w:sz w:val="32"/>
          <w:szCs w:val="32"/>
        </w:rPr>
      </w:pPr>
      <w:r>
        <w:rPr>
          <w:rFonts w:eastAsia="仿宋" w:hint="eastAsia"/>
          <w:sz w:val="32"/>
          <w:szCs w:val="32"/>
        </w:rPr>
        <w:t> </w:t>
      </w:r>
      <w:r>
        <w:rPr>
          <w:rFonts w:ascii="仿宋" w:eastAsia="仿宋" w:hAnsi="仿宋" w:hint="eastAsia"/>
          <w:sz w:val="32"/>
          <w:szCs w:val="32"/>
        </w:rPr>
        <w:t>3.人身损害的证据：</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（1）医疗单位诊断证明；</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（2）法医鉴定书以及伤残等级评定书；</w:t>
      </w:r>
    </w:p>
    <w:p w:rsidR="00F21B14" w:rsidRDefault="00B93B7A" w:rsidP="00BD0842">
      <w:pPr>
        <w:spacing w:line="560" w:lineRule="exact"/>
        <w:rPr>
          <w:rFonts w:ascii="仿宋" w:eastAsia="仿宋" w:hAnsi="仿宋"/>
          <w:sz w:val="32"/>
          <w:szCs w:val="32"/>
        </w:rPr>
      </w:pPr>
      <w:r>
        <w:rPr>
          <w:rFonts w:ascii="仿宋" w:eastAsia="仿宋" w:hAnsi="仿宋" w:hint="eastAsia"/>
          <w:sz w:val="32"/>
          <w:szCs w:val="32"/>
        </w:rPr>
        <w:t>（3）医药费、住院费、交通费、误工费、护理费等证据。</w:t>
      </w:r>
    </w:p>
    <w:p w:rsidR="00F21B14" w:rsidRDefault="00B93B7A" w:rsidP="00BD0842">
      <w:pPr>
        <w:spacing w:line="560" w:lineRule="exact"/>
        <w:rPr>
          <w:rFonts w:ascii="仿宋" w:eastAsia="仿宋" w:hAnsi="仿宋"/>
          <w:sz w:val="32"/>
          <w:szCs w:val="32"/>
        </w:rPr>
      </w:pPr>
      <w:r>
        <w:rPr>
          <w:rFonts w:eastAsia="仿宋" w:hint="eastAsia"/>
          <w:sz w:val="32"/>
          <w:szCs w:val="32"/>
        </w:rPr>
        <w:t> </w:t>
      </w:r>
      <w:r>
        <w:rPr>
          <w:rFonts w:ascii="仿宋" w:eastAsia="仿宋" w:hAnsi="仿宋" w:hint="eastAsia"/>
          <w:sz w:val="32"/>
          <w:szCs w:val="32"/>
        </w:rPr>
        <w:t>4.财物损害的证据</w:t>
      </w:r>
    </w:p>
    <w:p w:rsidR="00F21B14" w:rsidRDefault="00B93B7A" w:rsidP="00BD0842">
      <w:pPr>
        <w:spacing w:line="560" w:lineRule="exact"/>
        <w:rPr>
          <w:rFonts w:ascii="仿宋" w:eastAsia="仿宋" w:hAnsi="仿宋"/>
          <w:sz w:val="32"/>
          <w:szCs w:val="32"/>
        </w:rPr>
      </w:pPr>
      <w:r>
        <w:rPr>
          <w:rFonts w:eastAsia="仿宋" w:hint="eastAsia"/>
          <w:sz w:val="32"/>
          <w:szCs w:val="32"/>
        </w:rPr>
        <w:t> </w:t>
      </w:r>
      <w:r>
        <w:rPr>
          <w:rFonts w:ascii="仿宋" w:eastAsia="仿宋" w:hAnsi="仿宋" w:hint="eastAsia"/>
          <w:sz w:val="32"/>
          <w:szCs w:val="32"/>
        </w:rPr>
        <w:t>财物受损情况、受损程度评定、受损财物原价值、修理费用等证据。</w:t>
      </w:r>
    </w:p>
    <w:p w:rsidR="00BD0842" w:rsidRDefault="00B93B7A" w:rsidP="00BD0842">
      <w:pPr>
        <w:spacing w:line="560" w:lineRule="exact"/>
        <w:rPr>
          <w:rFonts w:ascii="仿宋" w:eastAsia="仿宋" w:hAnsi="仿宋" w:hint="eastAsia"/>
          <w:sz w:val="32"/>
          <w:szCs w:val="32"/>
        </w:rPr>
      </w:pPr>
      <w:r>
        <w:rPr>
          <w:rFonts w:ascii="仿宋" w:eastAsia="仿宋" w:hAnsi="仿宋" w:hint="eastAsia"/>
          <w:sz w:val="32"/>
          <w:szCs w:val="32"/>
        </w:rPr>
        <w:t xml:space="preserve">　5.</w:t>
      </w:r>
      <w:r>
        <w:rPr>
          <w:rFonts w:eastAsia="仿宋" w:hint="eastAsia"/>
          <w:sz w:val="32"/>
          <w:szCs w:val="32"/>
        </w:rPr>
        <w:t> </w:t>
      </w:r>
      <w:r>
        <w:rPr>
          <w:rFonts w:ascii="仿宋" w:eastAsia="仿宋" w:hAnsi="仿宋" w:hint="eastAsia"/>
          <w:sz w:val="32"/>
          <w:szCs w:val="32"/>
        </w:rPr>
        <w:t>其他证明案件事实且与确定管辖无关的证据。</w:t>
      </w:r>
    </w:p>
    <w:p w:rsidR="00BD0842" w:rsidRDefault="00BD0842" w:rsidP="00BD0842">
      <w:pPr>
        <w:spacing w:line="560" w:lineRule="exact"/>
        <w:rPr>
          <w:rFonts w:ascii="仿宋" w:eastAsia="仿宋" w:hAnsi="仿宋" w:hint="eastAsia"/>
          <w:sz w:val="32"/>
          <w:szCs w:val="32"/>
        </w:rPr>
      </w:pPr>
    </w:p>
    <w:p w:rsidR="00BD0842" w:rsidRPr="00BD0842" w:rsidRDefault="00BD0842" w:rsidP="00BD0842">
      <w:pPr>
        <w:spacing w:line="560" w:lineRule="exact"/>
        <w:rPr>
          <w:rFonts w:ascii="仿宋" w:eastAsia="仿宋" w:hAnsi="仿宋"/>
          <w:sz w:val="32"/>
          <w:szCs w:val="32"/>
        </w:rPr>
      </w:pPr>
    </w:p>
    <w:p w:rsidR="00F21B14" w:rsidRDefault="00F21B14" w:rsidP="0031285D">
      <w:pPr>
        <w:spacing w:line="120" w:lineRule="exact"/>
        <w:ind w:firstLineChars="1688" w:firstLine="3545"/>
        <w:rPr>
          <w:rFonts w:ascii="仿宋_GB2312" w:eastAsia="仿宋_GB2312"/>
          <w:szCs w:val="21"/>
        </w:rPr>
      </w:pPr>
    </w:p>
    <w:p w:rsidR="00F21B14" w:rsidRDefault="00002BC7">
      <w:pPr>
        <w:spacing w:line="520" w:lineRule="exact"/>
        <w:ind w:firstLineChars="100" w:firstLine="210"/>
        <w:rPr>
          <w:rFonts w:ascii="仿宋_GB2312" w:eastAsia="仿宋_GB2312"/>
          <w:sz w:val="32"/>
          <w:szCs w:val="32"/>
        </w:rPr>
      </w:pPr>
      <w:r w:rsidRPr="00002BC7">
        <w:rPr>
          <w:rFonts w:ascii="仿宋_GB2312" w:eastAsia="仿宋_GB2312"/>
          <w:szCs w:val="21"/>
        </w:rPr>
        <w:pict>
          <v:line id="直线 2" o:spid="_x0000_s1028" style="position:absolute;left:0;text-align:left;z-index:251657728" from="0,26.7pt" to="436.8pt,26.7pt" o:gfxdata="UEsDBAoAAAAAAIdO4kAAAAAAAAAAAAAAAAAEAAAAZHJzL1BLAwQUAAAACACHTuJAHstfJdQAAAAG&#10;AQAADwAAAGRycy9kb3ducmV2LnhtbE2PzU7DMBCE70i8g7VIXCpqt4FShTg9ALlxoYC4buMliYjX&#10;aez+wNOzqAc47sxo5ttidfS92tMYu8AWZlMDirgOruPGwutLdbUEFROywz4wWfiiCKvy/KzA3IUD&#10;P9N+nRolJRxztNCmNORax7olj3EaBmLxPsLoMck5NtqNeJBy3+u5MQvtsWNZaHGg+5bqz/XOW4jV&#10;G22r70k9Me9ZE2i+fXh6RGsvL2bmDlSiY/oLwy++oEMpTJuwYxdVb0EeSRZusmtQ4i5vswWozUnQ&#10;ZaH/45c/UEsDBBQAAAAIAIdO4kB9vGY+zgEAAI0DAAAOAAAAZHJzL2Uyb0RvYy54bWytU0uOEzEQ&#10;3SNxB8t70kmGDEMrnVlMGDYIIsEcoOJPtyX/5PKkk7NwDVZsOM5cg7KTyfDZIDRZOGVX+fm9V9XL&#10;672zbKcSmuA7PptMOVNeBGl83/G7L7evrjjDDF6CDV51/KCQX69evliOsVXzMAQrVWIE4rEdY8eH&#10;nGPbNCgG5QAnISpPSR2Sg0zb1DcywUjozjbz6fSyGUOSMQWhEOl0fUzyVcXXWon8SWtUmdmOE7dc&#10;11TXbVmb1RLaPkEcjDjRgP9g4cB4evQMtYYM7D6Zv6CcESlg0HkigmuC1kaoqoHUzKZ/qPk8QFRV&#10;C5mD8WwTPh+s+LjbJGYk9Y4zD45a9PD128P3H2xevBkjtlRy4zfptMO4SUXoXidX/kkC21c/D2c/&#10;1T4zQYeLxes3F5dku3jMNU8XY8L8XgXHStBxa3yRCi3sPmCmx6j0saQcW8/Gjr9dzBcEBzQp2kKm&#10;0EXijr6vdzFYI2+NteUGpn57YxPbQel9/RVJhPtbWXlkDTgc62rqOBWDAvnOS5YPkVzxNL68UHBK&#10;cmYVTXuJCBDaDMb+SyU9bT0xKK4efSzRNsgD9eA+JtMP5MSssiwZ6nnle5rPMlS/7ivS01e0+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y18l1AAAAAYBAAAPAAAAAAAAAAEAIAAAACIAAABkcnMv&#10;ZG93bnJldi54bWxQSwECFAAUAAAACACHTuJAfbxmPs4BAACNAwAADgAAAAAAAAABACAAAAAjAQAA&#10;ZHJzL2Uyb0RvYy54bWxQSwUGAAAAAAYABgBZAQAAYwUAAAAA&#10;"/>
        </w:pict>
      </w:r>
      <w:r w:rsidRPr="00002BC7">
        <w:rPr>
          <w:rFonts w:ascii="仿宋_GB2312" w:eastAsia="仿宋_GB2312"/>
          <w:szCs w:val="21"/>
        </w:rPr>
        <w:pict>
          <v:line id="直线 3" o:spid="_x0000_s1027" style="position:absolute;left:0;text-align:left;z-index:251658752" from="0,-.2pt" to="436.8pt,-.2pt" o:gfxdata="UEsDBAoAAAAAAIdO4kAAAAAAAAAAAAAAAAAEAAAAZHJzL1BLAwQUAAAACACHTuJAkqpr5tMAAAAE&#10;AQAADwAAAGRycy9kb3ducmV2LnhtbE2PzU7DMBCE70i8g7VIXKrWbovaKsTpAciNCy2I6zbeJhHx&#10;Oo3dH3h6Fi5wHM1o5pt8ffGdOtEQ28AWphMDirgKruXawuu2HK9AxYTssAtMFj4pwrq4vsoxc+HM&#10;L3TapFpJCccMLTQp9ZnWsWrIY5yEnli8fRg8JpFDrd2AZyn3nZ4Zs9AeW5aFBnt6aKj62By9hVi+&#10;0aH8GlUj8z6vA80Oj89PaO3tzdTcg0p0SX9h+MEXdCiEaReO7KLqLMiRZGF8B0rM1XK+ALX71brI&#10;9X/44htQSwMEFAAAAAgAh07iQJpVj63OAQAAjQMAAA4AAABkcnMvZTJvRG9jLnhtbK1TS44TMRDd&#10;I3EHy3vSSYYMTCudWUwYNggiDRyg4k+3Jf/k8qSTs3ANVmw4zlyDspPJwLBBiCycsqv86r3n6uX1&#10;3lm2UwlN8B2fTaacKS+CNL7v+JfPt6/ecoYZvAQbvOr4QSG/Xr18sRxjq+ZhCFaqxAjEYzvGjg85&#10;x7ZpUAzKAU5CVJ6SOiQHmbapb2SCkdCdbebT6WUzhiRjCkIh0un6mOSriq+1EvmT1qgysx0nbrmu&#10;qa7bsjarJbR9gjgYcaIB/8DCgfHU9Ay1hgzsPpk/oJwRKWDQeSKCa4LWRqiqgdTMps/U3A0QVdVC&#10;5mA824T/D1Z83G0SM7Ljc848OHqih6/fHr7/YBfFmzFiSyU3fpNOO4ybVITudXLlnySwffXzcPZT&#10;7TMTdLhYvH5zcUm2i8dc83QxJszvVXCsBB23xhep0MLuA2ZqRqWPJeXYejZ2/GoxXxAc0KRoC5lC&#10;F4k7+r7exWCNvDXWlhuY+u2NTWwH5e3rr0gi3N/KSpM14HCsq6njVAwK5DsvWT5EcsXT+PJCwSnJ&#10;mVU07SUiQGgzGPs3ldTaemJQXD36WKJtkAd6g/uYTD+QE7PKsmTozSvf03yWofp1X5GevqL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Kqa+bTAAAABAEAAA8AAAAAAAAAAQAgAAAAIgAAAGRycy9k&#10;b3ducmV2LnhtbFBLAQIUABQAAAAIAIdO4kCaVY+tzgEAAI0DAAAOAAAAAAAAAAEAIAAAACIBAABk&#10;cnMvZTJvRG9jLnhtbFBLBQYAAAAABgAGAFkBAABiBQAAAAA=&#10;"/>
        </w:pict>
      </w:r>
      <w:r w:rsidR="00B93B7A">
        <w:rPr>
          <w:rFonts w:ascii="仿宋_GB2312" w:eastAsia="仿宋_GB2312" w:hint="eastAsia"/>
          <w:sz w:val="28"/>
          <w:szCs w:val="28"/>
        </w:rPr>
        <w:t xml:space="preserve">西峡县人民法院办公室        </w:t>
      </w:r>
      <w:r w:rsidR="006073E5">
        <w:rPr>
          <w:rFonts w:ascii="仿宋_GB2312" w:eastAsia="仿宋_GB2312" w:hint="eastAsia"/>
          <w:sz w:val="28"/>
          <w:szCs w:val="28"/>
        </w:rPr>
        <w:t xml:space="preserve">          </w:t>
      </w:r>
      <w:r w:rsidR="00B93B7A">
        <w:rPr>
          <w:rFonts w:ascii="仿宋_GB2312" w:eastAsia="仿宋_GB2312" w:hint="eastAsia"/>
          <w:sz w:val="28"/>
          <w:szCs w:val="28"/>
        </w:rPr>
        <w:t xml:space="preserve"> 2021年3月10日印发</w:t>
      </w:r>
    </w:p>
    <w:sectPr w:rsidR="00F21B14" w:rsidSect="00F21B14">
      <w:footerReference w:type="default" r:id="rId7"/>
      <w:pgSz w:w="11906" w:h="16838"/>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74A" w:rsidRDefault="005A774A" w:rsidP="00F21B14">
      <w:r>
        <w:separator/>
      </w:r>
    </w:p>
  </w:endnote>
  <w:endnote w:type="continuationSeparator" w:id="1">
    <w:p w:rsidR="005A774A" w:rsidRDefault="005A774A" w:rsidP="00F21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B14" w:rsidRDefault="00002BC7">
    <w:pPr>
      <w:pStyle w:val="a3"/>
      <w:jc w:val="center"/>
    </w:pPr>
    <w:r w:rsidRPr="00002BC7">
      <w:fldChar w:fldCharType="begin"/>
    </w:r>
    <w:r w:rsidR="00B93B7A">
      <w:instrText>PAGE   \* MERGEFORMAT</w:instrText>
    </w:r>
    <w:r w:rsidRPr="00002BC7">
      <w:fldChar w:fldCharType="separate"/>
    </w:r>
    <w:r w:rsidR="006073E5" w:rsidRPr="006073E5">
      <w:rPr>
        <w:noProof/>
        <w:lang w:val="zh-CN"/>
      </w:rPr>
      <w:t>7</w:t>
    </w:r>
    <w:r>
      <w:rPr>
        <w:lang w:val="zh-CN"/>
      </w:rPr>
      <w:fldChar w:fldCharType="end"/>
    </w:r>
  </w:p>
  <w:p w:rsidR="00F21B14" w:rsidRDefault="00F21B14">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74A" w:rsidRDefault="005A774A" w:rsidP="00F21B14">
      <w:r>
        <w:separator/>
      </w:r>
    </w:p>
  </w:footnote>
  <w:footnote w:type="continuationSeparator" w:id="1">
    <w:p w:rsidR="005A774A" w:rsidRDefault="005A774A" w:rsidP="00F21B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7ADB4421"/>
    <w:rsid w:val="00002BC7"/>
    <w:rsid w:val="00027711"/>
    <w:rsid w:val="00033F37"/>
    <w:rsid w:val="00126A1F"/>
    <w:rsid w:val="001A3B65"/>
    <w:rsid w:val="001E5FE8"/>
    <w:rsid w:val="002663E8"/>
    <w:rsid w:val="002A3FF8"/>
    <w:rsid w:val="002F14A4"/>
    <w:rsid w:val="0031285D"/>
    <w:rsid w:val="00320A1E"/>
    <w:rsid w:val="003218E8"/>
    <w:rsid w:val="003468DE"/>
    <w:rsid w:val="00361C11"/>
    <w:rsid w:val="003C5BDC"/>
    <w:rsid w:val="003D33BA"/>
    <w:rsid w:val="003E2093"/>
    <w:rsid w:val="004C7AB1"/>
    <w:rsid w:val="005105E1"/>
    <w:rsid w:val="005A774A"/>
    <w:rsid w:val="005D7A99"/>
    <w:rsid w:val="005E4AE1"/>
    <w:rsid w:val="005F5AAE"/>
    <w:rsid w:val="00600F2B"/>
    <w:rsid w:val="006073E5"/>
    <w:rsid w:val="006577AA"/>
    <w:rsid w:val="006638EB"/>
    <w:rsid w:val="006C1A73"/>
    <w:rsid w:val="00853D10"/>
    <w:rsid w:val="00884244"/>
    <w:rsid w:val="0088667C"/>
    <w:rsid w:val="00892936"/>
    <w:rsid w:val="008B1FB5"/>
    <w:rsid w:val="008D1C7B"/>
    <w:rsid w:val="008F30C0"/>
    <w:rsid w:val="008F3FD8"/>
    <w:rsid w:val="00933509"/>
    <w:rsid w:val="00942AD3"/>
    <w:rsid w:val="009436C7"/>
    <w:rsid w:val="00961B31"/>
    <w:rsid w:val="00990662"/>
    <w:rsid w:val="009F6996"/>
    <w:rsid w:val="00A26699"/>
    <w:rsid w:val="00A315BC"/>
    <w:rsid w:val="00A342FC"/>
    <w:rsid w:val="00A45436"/>
    <w:rsid w:val="00AA3DED"/>
    <w:rsid w:val="00B1049E"/>
    <w:rsid w:val="00B13D2B"/>
    <w:rsid w:val="00B25346"/>
    <w:rsid w:val="00B547C9"/>
    <w:rsid w:val="00B75254"/>
    <w:rsid w:val="00B76628"/>
    <w:rsid w:val="00B93B7A"/>
    <w:rsid w:val="00BD0842"/>
    <w:rsid w:val="00C3318D"/>
    <w:rsid w:val="00C94FCA"/>
    <w:rsid w:val="00CB7ACB"/>
    <w:rsid w:val="00D56005"/>
    <w:rsid w:val="00D803A2"/>
    <w:rsid w:val="00DB152A"/>
    <w:rsid w:val="00DD1CA7"/>
    <w:rsid w:val="00DE07CD"/>
    <w:rsid w:val="00DF208F"/>
    <w:rsid w:val="00EA01D5"/>
    <w:rsid w:val="00F135E0"/>
    <w:rsid w:val="00F21B14"/>
    <w:rsid w:val="00F32DC2"/>
    <w:rsid w:val="00F95C25"/>
    <w:rsid w:val="00FD2DB7"/>
    <w:rsid w:val="00FF1322"/>
    <w:rsid w:val="01E72E43"/>
    <w:rsid w:val="095B7DF9"/>
    <w:rsid w:val="14254CFA"/>
    <w:rsid w:val="14F766B5"/>
    <w:rsid w:val="1CAE015A"/>
    <w:rsid w:val="1E9A608B"/>
    <w:rsid w:val="20C03A3A"/>
    <w:rsid w:val="2DD10913"/>
    <w:rsid w:val="30F05491"/>
    <w:rsid w:val="3AD802F8"/>
    <w:rsid w:val="3BF4199F"/>
    <w:rsid w:val="413372C4"/>
    <w:rsid w:val="46CE0918"/>
    <w:rsid w:val="6B07013B"/>
    <w:rsid w:val="7ADB4421"/>
    <w:rsid w:val="7B397C5D"/>
    <w:rsid w:val="7DA31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14"/>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F21B1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21B14"/>
    <w:pPr>
      <w:tabs>
        <w:tab w:val="center" w:pos="4153"/>
        <w:tab w:val="right" w:pos="8306"/>
      </w:tabs>
      <w:snapToGrid w:val="0"/>
      <w:jc w:val="left"/>
    </w:pPr>
    <w:rPr>
      <w:kern w:val="0"/>
      <w:sz w:val="18"/>
      <w:szCs w:val="20"/>
    </w:rPr>
  </w:style>
  <w:style w:type="paragraph" w:styleId="a4">
    <w:name w:val="header"/>
    <w:basedOn w:val="a"/>
    <w:link w:val="Char0"/>
    <w:uiPriority w:val="99"/>
    <w:qFormat/>
    <w:rsid w:val="00F21B14"/>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rPr>
  </w:style>
  <w:style w:type="character" w:customStyle="1" w:styleId="Char">
    <w:name w:val="页脚 Char"/>
    <w:link w:val="a3"/>
    <w:uiPriority w:val="99"/>
    <w:qFormat/>
    <w:locked/>
    <w:rsid w:val="00F21B14"/>
    <w:rPr>
      <w:rFonts w:ascii="Calibri" w:hAnsi="Calibri"/>
      <w:sz w:val="18"/>
    </w:rPr>
  </w:style>
  <w:style w:type="character" w:customStyle="1" w:styleId="Char0">
    <w:name w:val="页眉 Char"/>
    <w:link w:val="a4"/>
    <w:uiPriority w:val="99"/>
    <w:semiHidden/>
    <w:locked/>
    <w:rsid w:val="00F21B14"/>
    <w:rPr>
      <w:rFonts w:ascii="Calibri" w:hAnsi="Calibri"/>
      <w:sz w:val="18"/>
    </w:rPr>
  </w:style>
  <w:style w:type="paragraph" w:customStyle="1" w:styleId="p0">
    <w:name w:val="p0"/>
    <w:basedOn w:val="a"/>
    <w:uiPriority w:val="99"/>
    <w:qFormat/>
    <w:rsid w:val="00F21B14"/>
    <w:pPr>
      <w:widowControl/>
    </w:pPr>
    <w:rPr>
      <w:rFonts w:cs="宋体"/>
      <w:kern w:val="0"/>
      <w:szCs w:val="21"/>
    </w:rPr>
  </w:style>
  <w:style w:type="character" w:customStyle="1" w:styleId="1Char">
    <w:name w:val="标题 1 Char"/>
    <w:link w:val="1"/>
    <w:qFormat/>
    <w:rsid w:val="00F21B14"/>
    <w:rPr>
      <w:rFonts w:ascii="Calibri" w:hAnsi="Calibri"/>
      <w:b/>
      <w:kern w:val="44"/>
      <w:sz w:val="4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443</Words>
  <Characters>2526</Characters>
  <Application>Microsoft Office Word</Application>
  <DocSecurity>0</DocSecurity>
  <Lines>21</Lines>
  <Paragraphs>5</Paragraphs>
  <ScaleCrop>false</ScaleCrop>
  <Company>china</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西峡县人民法院  西峡县司法局</dc:title>
  <dc:creator>Administrator</dc:creator>
  <cp:lastModifiedBy>User</cp:lastModifiedBy>
  <cp:revision>12</cp:revision>
  <cp:lastPrinted>2019-12-24T09:05:00Z</cp:lastPrinted>
  <dcterms:created xsi:type="dcterms:W3CDTF">2021-01-18T08:12:00Z</dcterms:created>
  <dcterms:modified xsi:type="dcterms:W3CDTF">2022-02-18T07:55:00Z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